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spacing w:line="560" w:lineRule="exact"/>
        <w:jc w:val="center"/>
        <w:rPr>
          <w:rFonts w:ascii="方正小标宋_GBK" w:eastAsia="方正小标宋_GBK" w:cs="宋体" w:hint="eastAsia"/>
          <w:bCs/>
          <w:kern w:val="0"/>
          <w:sz w:val="36"/>
          <w:szCs w:val="36"/>
        </w:rPr>
      </w:pPr>
      <w:r>
        <w:rPr>
          <w:rFonts w:ascii="方正小标宋_GBK" w:eastAsia="方正小标宋_GBK" w:hint="eastAsia"/>
          <w:sz w:val="36"/>
          <w:szCs w:val="36"/>
        </w:rPr>
        <w:t>《</w:t>
      </w:r>
      <w:r>
        <w:rPr>
          <w:rFonts w:ascii="方正小标宋_GBK" w:eastAsia="方正小标宋_GBK" w:cs="宋体" w:hint="eastAsia"/>
          <w:bCs/>
          <w:kern w:val="0"/>
          <w:sz w:val="36"/>
          <w:szCs w:val="36"/>
        </w:rPr>
        <w:t>松江区区级非物质文化遗产保护专项资金</w:t>
      </w:r>
    </w:p>
    <w:p>
      <w:pPr>
        <w:spacing w:line="560" w:lineRule="exact"/>
        <w:jc w:val="center"/>
        <w:rPr>
          <w:rFonts w:ascii="方正小标宋_GBK" w:eastAsia="方正小标宋_GBK" w:hint="eastAsia"/>
          <w:sz w:val="36"/>
          <w:szCs w:val="36"/>
          <w:lang w:eastAsia="zh-CN"/>
        </w:rPr>
      </w:pPr>
      <w:r>
        <w:rPr>
          <w:rFonts w:ascii="方正小标宋_GBK" w:eastAsia="方正小标宋_GBK" w:cs="宋体" w:hint="eastAsia"/>
          <w:bCs/>
          <w:kern w:val="0"/>
          <w:sz w:val="36"/>
          <w:szCs w:val="36"/>
        </w:rPr>
        <w:t>管理办法</w:t>
      </w:r>
      <w:r>
        <w:rPr>
          <w:rFonts w:ascii="方正小标宋_GBK" w:eastAsia="方正小标宋_GBK" w:hint="eastAsia"/>
          <w:sz w:val="36"/>
          <w:szCs w:val="36"/>
        </w:rPr>
        <w:t>》的</w:t>
      </w:r>
      <w:r>
        <w:rPr>
          <w:rFonts w:ascii="方正小标宋_GBK" w:eastAsia="方正小标宋_GBK" w:hint="eastAsia"/>
          <w:sz w:val="36"/>
          <w:szCs w:val="36"/>
          <w:lang w:eastAsia="zh-CN"/>
        </w:rPr>
        <w:t>起草说明</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jc w:val="center"/>
        <w:textAlignment w:val="auto"/>
        <w:rPr>
          <w:rFonts w:ascii="黑体" w:eastAsia="黑体" w:hint="eastAsia"/>
          <w:bCs/>
          <w:color w:val="000000"/>
          <w:sz w:val="32"/>
          <w:szCs w:val="32"/>
          <w14:textFill>
            <w14:solidFill>
              <w14:srgbClr w14:val="000000"/>
            </w14:solidFill>
          </w14:textFill>
        </w:rPr>
      </w:pPr>
      <w:bookmarkStart w:id="0" w:name="_GoBack"/>
      <w:bookmarkEnd w:id="0"/>
    </w:p>
    <w:p>
      <w:pPr>
        <w:pStyle w:val="15"/>
        <w:keepNext w:val="0"/>
        <w:keepLines w:val="0"/>
        <w:pageBreakBefore w:val="0"/>
        <w:widowControl w:val="0"/>
        <w:kinsoku/>
        <w:wordWrap/>
        <w:overflowPunct/>
        <w:topLinePunct w:val="0"/>
        <w:autoSpaceDE/>
        <w:autoSpaceDN/>
        <w:bidi w:val="0"/>
        <w:adjustRightInd/>
        <w:snapToGrid/>
        <w:spacing w:line="560" w:lineRule="exact"/>
        <w:ind w:left="0" w:firstLineChars="200" w:firstLine="640"/>
        <w:textAlignment w:val="auto"/>
        <w:rPr>
          <w:rFonts w:ascii="黑体" w:eastAsia="黑体" w:cs="黑体" w:hint="eastAsia"/>
          <w:sz w:val="32"/>
          <w:szCs w:val="32"/>
          <w:lang w:val="en-US" w:eastAsia="zh-CN"/>
        </w:rPr>
      </w:pPr>
      <w:r>
        <w:rPr>
          <w:rFonts w:ascii="黑体" w:eastAsia="黑体" w:cs="黑体" w:hint="eastAsia"/>
          <w:sz w:val="32"/>
          <w:szCs w:val="32"/>
          <w:lang w:val="en-US" w:eastAsia="zh-CN"/>
        </w:rPr>
        <w:t>一、背景依据</w:t>
      </w:r>
    </w:p>
    <w:p>
      <w:pPr>
        <w:pStyle w:val="15"/>
        <w:keepNext w:val="0"/>
        <w:keepLines w:val="0"/>
        <w:pageBreakBefore w:val="0"/>
        <w:widowControl w:val="0"/>
        <w:kinsoku/>
        <w:wordWrap/>
        <w:overflowPunct/>
        <w:topLinePunct w:val="0"/>
        <w:autoSpaceDE/>
        <w:autoSpaceDN/>
        <w:bidi w:val="0"/>
        <w:adjustRightInd/>
        <w:snapToGrid/>
        <w:spacing w:line="560" w:lineRule="exact"/>
        <w:ind w:left="0" w:firstLineChars="200" w:firstLine="640"/>
        <w:textAlignment w:val="auto"/>
        <w:rPr>
          <w:rFonts w:ascii="楷体_GB2312" w:eastAsia="楷体_GB2312" w:cs="楷体_GB2312" w:hint="eastAsia"/>
          <w:sz w:val="32"/>
          <w:szCs w:val="32"/>
          <w:lang w:val="en-US" w:eastAsia="zh-CN"/>
        </w:rPr>
      </w:pPr>
      <w:r>
        <w:rPr>
          <w:rFonts w:ascii="楷体_GB2312" w:eastAsia="楷体_GB2312" w:cs="楷体_GB2312" w:hint="eastAsia"/>
          <w:sz w:val="32"/>
          <w:szCs w:val="32"/>
          <w:lang w:val="en-US" w:eastAsia="zh-CN"/>
        </w:rPr>
        <w:t>（一）制订依据</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Chars="200" w:firstLine="640"/>
        <w:jc w:val="left"/>
        <w:textAlignment w:val="auto"/>
        <w:rPr>
          <w:rFonts w:ascii="仿宋_GB2312" w:eastAsia="仿宋_GB2312" w:hint="eastAsia"/>
          <w:color w:val="000000"/>
          <w:sz w:val="32"/>
          <w:szCs w:val="32"/>
          <w:lang w:eastAsia="zh-CN"/>
        </w:rPr>
      </w:pPr>
      <w:r>
        <w:rPr>
          <w:rFonts w:ascii="仿宋_GB2312" w:eastAsia="仿宋_GB2312" w:hint="eastAsia"/>
          <w:color w:val="000000"/>
          <w:sz w:val="32"/>
          <w:szCs w:val="32"/>
        </w:rPr>
        <w:t>依据</w:t>
      </w:r>
      <w:r>
        <w:rPr>
          <w:rFonts w:ascii="仿宋_GB2312" w:eastAsia="仿宋_GB2312" w:cs="宋体" w:hint="eastAsia"/>
          <w:kern w:val="0"/>
          <w:sz w:val="32"/>
          <w:szCs w:val="32"/>
        </w:rPr>
        <w:t>《中华人民共和国非物质文化遗产法》《上海市非物质文化遗产保护条例》《上海市市级非物质文化遗产保护专项资金管理办法》</w:t>
      </w:r>
      <w:r>
        <w:rPr>
          <w:rFonts w:ascii="仿宋_GB2312" w:eastAsia="仿宋_GB2312" w:cs="宋体" w:hint="eastAsia"/>
          <w:kern w:val="0"/>
          <w:sz w:val="32"/>
          <w:szCs w:val="32"/>
          <w:lang w:eastAsia="zh-CN"/>
        </w:rPr>
        <w:t>《上海市市级非物质文化遗产代表性项目保护情况评估管理办法》</w:t>
      </w:r>
      <w:r>
        <w:rPr>
          <w:rFonts w:ascii="仿宋_GB2312" w:eastAsia="仿宋_GB2312" w:hint="eastAsia"/>
          <w:color w:val="000000"/>
          <w:sz w:val="32"/>
          <w:szCs w:val="32"/>
        </w:rPr>
        <w:t>等</w:t>
      </w:r>
      <w:r>
        <w:rPr>
          <w:rFonts w:ascii="仿宋_GB2312" w:eastAsia="仿宋_GB2312" w:hint="eastAsia"/>
          <w:color w:val="000000"/>
          <w:sz w:val="32"/>
          <w:szCs w:val="32"/>
          <w:lang w:eastAsia="zh-CN"/>
        </w:rPr>
        <w:t>有关法律法规</w:t>
      </w:r>
      <w:r>
        <w:rPr>
          <w:rFonts w:ascii="仿宋_GB2312" w:eastAsia="仿宋_GB2312" w:hint="eastAsia"/>
          <w:color w:val="000000"/>
          <w:sz w:val="32"/>
          <w:szCs w:val="32"/>
        </w:rPr>
        <w:t>，制定《</w:t>
      </w:r>
      <w:r>
        <w:rPr>
          <w:rFonts w:ascii="仿宋_GB2312" w:eastAsia="仿宋_GB2312" w:cs="宋体" w:hint="eastAsia"/>
          <w:kern w:val="0"/>
          <w:sz w:val="32"/>
          <w:szCs w:val="32"/>
        </w:rPr>
        <w:t>松江区区级非物质文化遗产保护专项资金</w:t>
      </w:r>
      <w:r>
        <w:rPr>
          <w:rFonts w:ascii="仿宋_GB2312" w:eastAsia="仿宋_GB2312" w:cs="宋体" w:hint="eastAsia"/>
          <w:kern w:val="0"/>
          <w:sz w:val="32"/>
          <w:szCs w:val="32"/>
          <w:lang w:eastAsia="zh-CN"/>
        </w:rPr>
        <w:t>管理办法</w:t>
      </w:r>
      <w:r>
        <w:rPr>
          <w:rFonts w:ascii="仿宋_GB2312" w:eastAsia="仿宋_GB2312" w:hint="eastAsia"/>
          <w:color w:val="000000"/>
          <w:sz w:val="32"/>
          <w:szCs w:val="32"/>
        </w:rPr>
        <w:t>》</w:t>
      </w:r>
      <w:r>
        <w:rPr>
          <w:rFonts w:ascii="仿宋_GB2312" w:eastAsia="仿宋_GB2312" w:hint="eastAsia"/>
          <w:color w:val="000000"/>
          <w:sz w:val="32"/>
          <w:szCs w:val="32"/>
          <w:lang w:eastAsia="zh-CN"/>
        </w:rPr>
        <w:t>（以下简称“管理办法”）</w:t>
      </w:r>
      <w:r>
        <w:rPr>
          <w:rFonts w:ascii="仿宋_GB2312" w:eastAsia="仿宋_GB2312" w:hint="eastAsia"/>
          <w:color w:val="000000"/>
          <w:sz w:val="32"/>
          <w:szCs w:val="32"/>
        </w:rPr>
        <w:t>。</w:t>
      </w:r>
    </w:p>
    <w:p>
      <w:pPr>
        <w:pStyle w:val="15"/>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firstLineChars="200" w:firstLine="640"/>
        <w:textAlignment w:val="auto"/>
        <w:rPr>
          <w:rFonts w:ascii="楷体_GB2312" w:eastAsia="楷体_GB2312" w:cs="楷体_GB2312" w:hint="eastAsia"/>
          <w:sz w:val="32"/>
          <w:szCs w:val="32"/>
          <w:lang w:val="en-US" w:eastAsia="zh-CN"/>
        </w:rPr>
      </w:pPr>
      <w:r>
        <w:rPr>
          <w:rFonts w:ascii="楷体_GB2312" w:eastAsia="楷体_GB2312" w:cs="楷体_GB2312" w:hint="eastAsia"/>
          <w:sz w:val="32"/>
          <w:szCs w:val="32"/>
          <w:lang w:val="en-US" w:eastAsia="zh-CN"/>
        </w:rPr>
        <w:t>目的意义</w:t>
      </w:r>
    </w:p>
    <w:p>
      <w:pPr>
        <w:keepNext w:val="0"/>
        <w:keepLines w:val="0"/>
        <w:pageBreakBefore w:val="0"/>
        <w:widowControl w:val="0"/>
        <w:kinsoku/>
        <w:wordWrap/>
        <w:overflowPunct/>
        <w:topLinePunct w:val="0"/>
        <w:autoSpaceDE/>
        <w:autoSpaceDN/>
        <w:bidi w:val="0"/>
        <w:adjustRightInd/>
        <w:snapToGrid/>
        <w:spacing w:line="560" w:lineRule="exact"/>
        <w:ind w:firstLineChars="198" w:firstLine="634"/>
        <w:textAlignment w:val="auto"/>
        <w:rPr>
          <w:rFonts w:ascii="仿宋_GB2312" w:eastAsia="仿宋_GB2312" w:cs="宋体"/>
          <w:kern w:val="0"/>
          <w:sz w:val="32"/>
          <w:szCs w:val="32"/>
        </w:rPr>
      </w:pPr>
      <w:r>
        <w:rPr>
          <w:rFonts w:ascii="仿宋_GB2312" w:eastAsia="仿宋_GB2312" w:cs="宋体" w:hint="eastAsia"/>
          <w:kern w:val="0"/>
          <w:sz w:val="32"/>
          <w:szCs w:val="32"/>
          <w:lang w:eastAsia="zh-CN"/>
        </w:rPr>
        <w:t>为进一步</w:t>
      </w:r>
      <w:r>
        <w:rPr>
          <w:rFonts w:ascii="仿宋_GB2312" w:eastAsia="仿宋_GB2312" w:cs="宋体" w:hint="eastAsia"/>
          <w:kern w:val="0"/>
          <w:sz w:val="32"/>
          <w:szCs w:val="32"/>
        </w:rPr>
        <w:t>规范和加强</w:t>
      </w:r>
      <w:r>
        <w:rPr>
          <w:rFonts w:ascii="仿宋_GB2312" w:eastAsia="仿宋_GB2312" w:cs="宋体" w:hint="eastAsia"/>
          <w:kern w:val="0"/>
          <w:sz w:val="32"/>
          <w:szCs w:val="32"/>
          <w:lang w:eastAsia="zh-CN"/>
        </w:rPr>
        <w:t>区级非物质文化遗产</w:t>
      </w:r>
      <w:r>
        <w:rPr>
          <w:rFonts w:ascii="仿宋_GB2312" w:eastAsia="仿宋_GB2312" w:cs="宋体" w:hint="eastAsia"/>
          <w:kern w:val="0"/>
          <w:sz w:val="32"/>
          <w:szCs w:val="32"/>
        </w:rPr>
        <w:t>专项资金的管理，提高资金使用效益</w:t>
      </w:r>
      <w:r>
        <w:rPr>
          <w:rFonts w:ascii="仿宋_GB2312" w:eastAsia="仿宋_GB2312" w:cs="宋体" w:hint="eastAsia"/>
          <w:kern w:val="0"/>
          <w:sz w:val="32"/>
          <w:szCs w:val="32"/>
          <w:lang w:eastAsia="zh-CN"/>
        </w:rPr>
        <w:t>。针对</w:t>
      </w:r>
      <w:r>
        <w:rPr>
          <w:rFonts w:ascii="仿宋_GB2312" w:eastAsia="仿宋_GB2312" w:cs="宋体" w:hint="eastAsia"/>
          <w:kern w:val="0"/>
          <w:sz w:val="32"/>
          <w:szCs w:val="32"/>
        </w:rPr>
        <w:t>非物质文化遗产保护工作</w:t>
      </w:r>
      <w:r>
        <w:rPr>
          <w:rFonts w:ascii="仿宋_GB2312" w:eastAsia="仿宋_GB2312" w:cs="宋体" w:hint="eastAsia"/>
          <w:kern w:val="0"/>
          <w:sz w:val="32"/>
          <w:szCs w:val="32"/>
          <w:lang w:eastAsia="zh-CN"/>
        </w:rPr>
        <w:t>新要求</w:t>
      </w:r>
      <w:r>
        <w:rPr>
          <w:rFonts w:ascii="仿宋_GB2312" w:eastAsia="仿宋_GB2312" w:cs="宋体" w:hint="eastAsia"/>
          <w:kern w:val="0"/>
          <w:sz w:val="32"/>
          <w:szCs w:val="32"/>
        </w:rPr>
        <w:t>，</w:t>
      </w:r>
      <w:r>
        <w:rPr>
          <w:rFonts w:ascii="仿宋_GB2312" w:eastAsia="仿宋_GB2312" w:cs="宋体" w:hint="eastAsia"/>
          <w:kern w:val="0"/>
          <w:sz w:val="32"/>
          <w:szCs w:val="32"/>
          <w:lang w:eastAsia="zh-CN"/>
        </w:rPr>
        <w:t>完善政策设计。针对历年专项资金补助过程中遇到的问题及申报单位的意见和建议反馈，进行内容完善和补充</w:t>
      </w:r>
      <w:r>
        <w:rPr>
          <w:rFonts w:ascii="仿宋_GB2312" w:eastAsia="仿宋_GB2312" w:cs="宋体" w:hint="eastAsia"/>
          <w:kern w:val="0"/>
          <w:sz w:val="32"/>
          <w:szCs w:val="32"/>
        </w:rPr>
        <w:t>。</w:t>
      </w:r>
    </w:p>
    <w:p>
      <w:pPr>
        <w:pStyle w:val="15"/>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firstLineChars="200" w:firstLine="640"/>
        <w:textAlignment w:val="auto"/>
        <w:rPr>
          <w:rFonts w:ascii="黑体" w:eastAsia="黑体" w:cs="黑体" w:hint="eastAsia"/>
          <w:sz w:val="32"/>
          <w:szCs w:val="32"/>
          <w:lang w:val="en-US" w:eastAsia="zh-CN"/>
        </w:rPr>
      </w:pPr>
      <w:r>
        <w:rPr>
          <w:rFonts w:ascii="黑体" w:eastAsia="黑体" w:cs="黑体" w:hint="eastAsia"/>
          <w:sz w:val="32"/>
          <w:szCs w:val="32"/>
          <w:lang w:val="en-US" w:eastAsia="zh-CN"/>
        </w:rPr>
        <w:t>修订过程</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Chars="200" w:firstLine="640"/>
        <w:jc w:val="left"/>
        <w:textAlignment w:val="auto"/>
        <w:rPr>
          <w:rFonts w:ascii="仿宋_GB2312" w:eastAsia="仿宋_GB2312" w:hint="eastAsia"/>
          <w:color w:val="000000"/>
          <w:sz w:val="32"/>
          <w:szCs w:val="32"/>
          <w:lang w:eastAsia="zh-CN"/>
        </w:rPr>
      </w:pPr>
      <w:r>
        <w:rPr>
          <w:rFonts w:ascii="仿宋_GB2312" w:eastAsia="仿宋_GB2312" w:hint="eastAsia"/>
          <w:color w:val="000000"/>
          <w:sz w:val="32"/>
          <w:szCs w:val="32"/>
          <w:lang w:eastAsia="zh-CN"/>
        </w:rPr>
        <w:t>《管理办法》以</w:t>
      </w:r>
      <w:r>
        <w:rPr>
          <w:rFonts w:ascii="仿宋_GB2312" w:eastAsia="仿宋_GB2312" w:cs="仿宋_GB2312" w:hint="eastAsia"/>
          <w:color w:val="000000"/>
          <w:kern w:val="0"/>
          <w:sz w:val="32"/>
          <w:szCs w:val="32"/>
          <w:lang w:eastAsia="zh-CN"/>
        </w:rPr>
        <w:t>原</w:t>
      </w:r>
      <w:r>
        <w:rPr>
          <w:rFonts w:ascii="仿宋_GB2312" w:eastAsia="仿宋_GB2312" w:cs="仿宋_GB2312" w:hint="eastAsia"/>
          <w:color w:val="000000"/>
          <w:kern w:val="0"/>
          <w:sz w:val="32"/>
          <w:szCs w:val="32"/>
        </w:rPr>
        <w:t>《松江区区级非物质文化遗产保护专项资金管理办法（试行）》（松文旅局规字〔2020〕6号）</w:t>
      </w:r>
      <w:r>
        <w:rPr>
          <w:rFonts w:ascii="仿宋_GB2312" w:eastAsia="仿宋_GB2312" w:hint="eastAsia"/>
          <w:color w:val="000000"/>
          <w:sz w:val="32"/>
          <w:szCs w:val="32"/>
          <w:lang w:eastAsia="zh-CN"/>
        </w:rPr>
        <w:t>为基础，经过学习借鉴、广泛调研，听取意见和建议等环节，结合本区非物质文化遗产保护工作实际，并经局法律顾问合法性审查后，制定形成《管理办法》（送审稿）。</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Chars="200" w:firstLine="640"/>
        <w:jc w:val="both"/>
        <w:textAlignment w:val="auto"/>
        <w:rPr>
          <w:rFonts w:ascii="仿宋_GB2312" w:eastAsia="仿宋_GB2312" w:hint="eastAsia"/>
          <w:color w:val="000000"/>
          <w:sz w:val="32"/>
          <w:szCs w:val="32"/>
          <w:lang w:eastAsia="zh-CN"/>
        </w:rPr>
      </w:pPr>
      <w:r>
        <w:rPr>
          <w:rFonts w:ascii="仿宋_GB2312" w:eastAsia="仿宋_GB2312" w:hint="eastAsia"/>
          <w:color w:val="000000"/>
          <w:sz w:val="32"/>
          <w:szCs w:val="32"/>
          <w:lang w:eastAsia="zh-CN"/>
        </w:rPr>
        <w:t>20</w:t>
      </w:r>
      <w:r>
        <w:rPr>
          <w:rFonts w:ascii="仿宋_GB2312" w:eastAsia="仿宋_GB2312" w:hint="eastAsia"/>
          <w:color w:val="000000"/>
          <w:sz w:val="32"/>
          <w:szCs w:val="32"/>
          <w:lang w:val="en-US" w:eastAsia="zh-CN"/>
        </w:rPr>
        <w:t>22</w:t>
      </w:r>
      <w:r>
        <w:rPr>
          <w:rFonts w:ascii="仿宋_GB2312" w:eastAsia="仿宋_GB2312" w:hint="eastAsia"/>
          <w:color w:val="000000"/>
          <w:sz w:val="32"/>
          <w:szCs w:val="32"/>
          <w:lang w:eastAsia="zh-CN"/>
        </w:rPr>
        <w:t>年</w:t>
      </w:r>
      <w:r>
        <w:rPr>
          <w:rFonts w:ascii="仿宋_GB2312" w:eastAsia="仿宋_GB2312" w:hint="eastAsia"/>
          <w:color w:val="000000"/>
          <w:sz w:val="32"/>
          <w:szCs w:val="32"/>
          <w:lang w:val="en-US" w:eastAsia="zh-CN"/>
        </w:rPr>
        <w:t>10</w:t>
      </w:r>
      <w:r>
        <w:rPr>
          <w:rFonts w:ascii="仿宋_GB2312" w:eastAsia="仿宋_GB2312" w:hint="eastAsia"/>
          <w:color w:val="000000"/>
          <w:sz w:val="32"/>
          <w:szCs w:val="32"/>
          <w:lang w:eastAsia="zh-CN"/>
        </w:rPr>
        <w:t>月至</w:t>
      </w:r>
      <w:r>
        <w:rPr>
          <w:rFonts w:ascii="仿宋_GB2312" w:eastAsia="仿宋_GB2312" w:hint="eastAsia"/>
          <w:color w:val="000000"/>
          <w:sz w:val="32"/>
          <w:szCs w:val="32"/>
          <w:lang w:val="en-US" w:eastAsia="zh-CN"/>
        </w:rPr>
        <w:t>2022年12月</w:t>
      </w:r>
      <w:r>
        <w:rPr>
          <w:rFonts w:ascii="仿宋_GB2312" w:eastAsia="仿宋_GB2312" w:hint="eastAsia"/>
          <w:color w:val="000000"/>
          <w:sz w:val="32"/>
          <w:szCs w:val="32"/>
          <w:lang w:eastAsia="zh-CN"/>
        </w:rPr>
        <w:t>，调研并收集国家级、市级和本市其他区非物质文化遗产保护专项资金管理政策，与我区现行的非物质文化遗产保护专项资金管理政策进行分析比较。</w:t>
      </w:r>
    </w:p>
    <w:p>
      <w:pPr>
        <w:pStyle w:val="15"/>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lang w:eastAsia="zh-CN"/>
        </w:rPr>
      </w:pPr>
      <w:r>
        <w:rPr>
          <w:rFonts w:ascii="仿宋_GB2312" w:eastAsia="仿宋_GB2312" w:hint="eastAsia"/>
          <w:color w:val="000000"/>
          <w:sz w:val="32"/>
          <w:szCs w:val="32"/>
          <w:lang w:val="en-US" w:eastAsia="zh-CN"/>
        </w:rPr>
        <w:t>2023年1月，经过广泛调研，借鉴其他地区非物质文化遗产保护专项资金管理政策好的经验和做法，并根据近年来专项资金评审小组意见建议，反复研究修订，形成</w:t>
      </w:r>
      <w:r>
        <w:rPr>
          <w:rFonts w:ascii="仿宋_GB2312" w:eastAsia="仿宋_GB2312" w:hint="eastAsia"/>
          <w:color w:val="000000"/>
          <w:sz w:val="32"/>
          <w:szCs w:val="32"/>
          <w:lang w:eastAsia="zh-CN"/>
        </w:rPr>
        <w:t>《管理办法》（征求意见稿）。</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Chars="200" w:firstLine="640"/>
        <w:jc w:val="left"/>
        <w:textAlignment w:val="auto"/>
        <w:rPr>
          <w:rFonts w:ascii="仿宋_GB2312" w:eastAsia="仿宋_GB2312" w:hint="eastAsia"/>
          <w:color w:val="000000"/>
          <w:sz w:val="32"/>
          <w:szCs w:val="32"/>
          <w:lang w:eastAsia="zh-CN"/>
        </w:rPr>
      </w:pPr>
      <w:r>
        <w:rPr>
          <w:rFonts w:ascii="仿宋_GB2312" w:eastAsia="仿宋_GB2312" w:hint="eastAsia"/>
          <w:color w:val="000000"/>
          <w:sz w:val="32"/>
          <w:szCs w:val="32"/>
          <w:lang w:eastAsia="zh-CN"/>
        </w:rPr>
        <w:t>202</w:t>
      </w:r>
      <w:r>
        <w:rPr>
          <w:rFonts w:ascii="仿宋_GB2312" w:eastAsia="仿宋_GB2312" w:hint="eastAsia"/>
          <w:color w:val="000000"/>
          <w:sz w:val="32"/>
          <w:szCs w:val="32"/>
          <w:lang w:val="en-US" w:eastAsia="zh-CN"/>
        </w:rPr>
        <w:t>3</w:t>
      </w:r>
      <w:r>
        <w:rPr>
          <w:rFonts w:ascii="仿宋_GB2312" w:eastAsia="仿宋_GB2312" w:hint="eastAsia"/>
          <w:color w:val="000000"/>
          <w:sz w:val="32"/>
          <w:szCs w:val="32"/>
          <w:lang w:eastAsia="zh-CN"/>
        </w:rPr>
        <w:t>年</w:t>
      </w:r>
      <w:r>
        <w:rPr>
          <w:rFonts w:ascii="仿宋_GB2312" w:eastAsia="仿宋_GB2312" w:hint="eastAsia"/>
          <w:color w:val="000000"/>
          <w:sz w:val="32"/>
          <w:szCs w:val="32"/>
          <w:lang w:val="en-US" w:eastAsia="zh-CN"/>
        </w:rPr>
        <w:t>2</w:t>
      </w:r>
      <w:r>
        <w:rPr>
          <w:rFonts w:ascii="仿宋_GB2312" w:eastAsia="仿宋_GB2312" w:hint="eastAsia"/>
          <w:color w:val="000000"/>
          <w:sz w:val="32"/>
          <w:szCs w:val="32"/>
          <w:lang w:eastAsia="zh-CN"/>
        </w:rPr>
        <w:t>月，将《管理办法》（征求意见稿）公布在“上海松江”门户网站上，征求社会公众意见。</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Chars="200" w:firstLine="640"/>
        <w:jc w:val="both"/>
        <w:textAlignment w:val="auto"/>
        <w:rPr>
          <w:rFonts w:ascii="仿宋_GB2312" w:eastAsia="仿宋_GB2312"/>
          <w:color w:val="000000"/>
          <w:sz w:val="32"/>
          <w:szCs w:val="32"/>
          <w:lang w:val="en-US" w:eastAsia="zh-CN"/>
        </w:rPr>
      </w:pPr>
      <w:r>
        <w:rPr>
          <w:rFonts w:ascii="仿宋_GB2312" w:eastAsia="仿宋_GB2312" w:hint="eastAsia"/>
          <w:color w:val="000000"/>
          <w:sz w:val="32"/>
          <w:szCs w:val="32"/>
          <w:lang w:eastAsia="zh-CN"/>
        </w:rPr>
        <w:t>202</w:t>
      </w:r>
      <w:r>
        <w:rPr>
          <w:rFonts w:ascii="仿宋_GB2312" w:eastAsia="仿宋_GB2312" w:hint="eastAsia"/>
          <w:color w:val="000000"/>
          <w:sz w:val="32"/>
          <w:szCs w:val="32"/>
          <w:lang w:val="en-US" w:eastAsia="zh-CN"/>
        </w:rPr>
        <w:t>3</w:t>
      </w:r>
      <w:r>
        <w:rPr>
          <w:rFonts w:ascii="仿宋_GB2312" w:eastAsia="仿宋_GB2312" w:hint="eastAsia"/>
          <w:color w:val="000000"/>
          <w:sz w:val="32"/>
          <w:szCs w:val="32"/>
          <w:lang w:eastAsia="zh-CN"/>
        </w:rPr>
        <w:t>年</w:t>
      </w:r>
      <w:r>
        <w:rPr>
          <w:rFonts w:ascii="仿宋_GB2312" w:eastAsia="仿宋_GB2312" w:hint="eastAsia"/>
          <w:color w:val="000000"/>
          <w:sz w:val="32"/>
          <w:szCs w:val="32"/>
          <w:lang w:val="en-US" w:eastAsia="zh-CN"/>
        </w:rPr>
        <w:t>3</w:t>
      </w:r>
      <w:r>
        <w:rPr>
          <w:rFonts w:ascii="仿宋_GB2312" w:eastAsia="仿宋_GB2312" w:hint="eastAsia"/>
          <w:color w:val="000000"/>
          <w:sz w:val="32"/>
          <w:szCs w:val="32"/>
          <w:lang w:eastAsia="zh-CN"/>
        </w:rPr>
        <w:t>月，书面征求区财政局、各街镇及各非遗保护单位意见和建议，共收集到</w:t>
      </w:r>
      <w:r>
        <w:rPr>
          <w:rFonts w:ascii="仿宋_GB2312" w:eastAsia="仿宋_GB2312" w:hint="eastAsia"/>
          <w:color w:val="000000"/>
          <w:sz w:val="32"/>
          <w:szCs w:val="32"/>
          <w:lang w:val="en-US" w:eastAsia="zh-CN"/>
        </w:rPr>
        <w:t>1条修改意见，其余25家均无意见和建议。根据反馈情况，吸纳合理建议后进行完善，</w:t>
      </w:r>
      <w:r>
        <w:rPr>
          <w:rFonts w:ascii="仿宋_GB2312" w:eastAsia="仿宋_GB2312" w:hint="eastAsia"/>
          <w:color w:val="000000"/>
          <w:sz w:val="32"/>
          <w:szCs w:val="32"/>
          <w:lang w:eastAsia="zh-CN"/>
        </w:rPr>
        <w:t>并经局法律顾问合法性审查后，制定形成《管理办法》（送审稿）。</w:t>
      </w:r>
    </w:p>
    <w:sectPr>
      <w:footerReference w:type="default" r:id="rId2"/>
      <w:pgSz w:w="11906" w:h="16838"/>
      <w:pgMar w:top="1440" w:right="1800" w:bottom="1440" w:left="1800" w:header="851" w:footer="992" w:gutter="0"/>
      <w:pgNumType w:fmt="numberInDash"/>
      <w:docGrid w:type="lines" w:linePitch="312" w:charSpace="0"/>
    </w:sectPr>
  </w:body>
</w:document>
</file>

<file path=word/fontTable.xml><?xml version="1.0" encoding="utf-8"?>
<w:fonts xmlns:w="http://schemas.openxmlformats.org/wordprocessingml/2006/main" xmlns:r="http://schemas.openxmlformats.org/officeDocument/2006/relationships">
  <w:font w:name="仿宋_GB2312">
    <w:panose1 w:val="02010609030101010101"/>
    <w:charset w:val="86"/>
    <w:family w:val="modern"/>
    <w:pitch w:val="variable"/>
    <w:sig w:usb0="00000001" w:usb1="080E0000" w:usb2="00000000" w:usb3="00000000" w:csb0="00040000" w:csb1="00000000"/>
  </w:font>
  <w:font w:name="方正小标宋_GBK">
    <w:panose1 w:val="02000000000000000000"/>
    <w:charset w:val="86"/>
    <w:family w:val="script"/>
    <w:pitch w:val="variable"/>
    <w:sig w:usb0="A00002BF" w:usb1="38CF7CFA" w:usb2="00082016" w:usb3="00000000" w:csb0="00040001" w:csb1="00000000"/>
  </w:font>
  <w:font w:name="宋体">
    <w:altName w:val="方正书宋_GBK"/>
    <w:panose1 w:val="00000000000000000000"/>
    <w:charset w:val="86"/>
    <w:family w:val="auto"/>
    <w:pitch w:val="variable"/>
    <w:sig w:usb0="00000000" w:usb1="00000000" w:usb2="00000000" w:usb3="00000000" w:csb0="00040001" w:csb1="00000000"/>
  </w:font>
  <w:font w:name="黑体">
    <w:altName w:val="方正黑体_GBK"/>
    <w:panose1 w:val="02010609060101010101"/>
    <w:charset w:val="86"/>
    <w:family w:val="auto"/>
    <w:pitch w:val="variable"/>
    <w:sig w:usb0="800002BF" w:usb1="38CF7CFA" w:usb2="00000016" w:usb3="00000000" w:csb0="00040001" w:csb1="00000000"/>
  </w:font>
  <w:font w:name="楷体_GB2312">
    <w:panose1 w:val="02010609030101010101"/>
    <w:charset w:val="86"/>
    <w:family w:val="auto"/>
    <w:pitch w:val="variable"/>
    <w:sig w:usb0="00000001" w:usb1="080E0000" w:usb2="00000000" w:usb3="00000000" w:csb0="00040000" w:csb1="00000000"/>
  </w:font>
  <w:font w:name="Times New Roman">
    <w:altName w:val="DejaVu Sans"/>
    <w:panose1 w:val="02020603050405020304"/>
    <w:charset w:val="00"/>
    <w:family w:val="roman"/>
    <w:pitch w:val="variable"/>
    <w:sig w:usb0="20007A87" w:usb1="80000000" w:usb2="00000008" w:usb3="00000000" w:csb0="000001FF" w:csb1="00000000"/>
  </w:font>
  <w:font w:name="Calibri">
    <w:altName w:val="DejaVu Sans"/>
    <w:panose1 w:val="020F0502020204030204"/>
    <w:charset w:val="00"/>
    <w:family w:val="swiss"/>
    <w:pitch w:val="variable"/>
    <w:sig w:usb0="00000000" w:usb1="00000000" w:usb2="00000001" w:usb3="00000000" w:csb0="0000019F" w:csb1="00000000"/>
  </w:font>
  <w:font w:name="Luxi Sans">
    <w:altName w:val="DejaVu Sans"/>
    <w:panose1 w:val="00000000000000000000"/>
    <w:charset w:val="00"/>
    <w:family w:val="auto"/>
    <w:pitch w:val="variable"/>
    <w:sig w:usb0="00000000" w:usb1="00000000" w:usb2="00000000" w:usb3="00000000" w:csb0="00000000" w:csb1="0000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6"/>
      <w:tabs>
        <w:tab w:val="center" w:pos="4153"/>
        <w:tab w:val="right" w:pos="8306"/>
      </w:tabs>
    </w:pPr>
    <w:r>
      <w:rPr>
        <w:sz w:val="18"/>
      </w:rPr>
      <mc:AlternateContent>
        <mc:Choice Requires="wps">
          <w:drawing>
            <wp:anchor distT="0" distB="0" distL="114298" distR="114298" simplePos="0" relativeHeight="12" behindDoc="0" locked="0" layoutInCell="1" hidden="0" allowOverlap="1">
              <wp:simplePos x="0" y="0"/>
              <wp:positionH relativeFrom="margin">
                <wp:align>center</wp:align>
              </wp:positionH>
              <wp:positionV relativeFrom="paragraph">
                <wp:posOffset>0</wp:posOffset>
              </wp:positionV>
              <wp:extent cx="381000" cy="197358"/>
              <wp:effectExtent l="0" t="0" r="0" b="0"/>
              <wp:wrapNone/>
              <wp:docPr id="1" name="文本框 1025"/>
              <wp:cNvGraphicFramePr>
                <a:graphicFrameLocks noChangeAspect="0"/>
              </wp:cNvGraphicFramePr>
              <a:graphic>
                <a:graphicData uri="http://schemas.microsoft.com/office/word/2010/wordprocessingShape">
                  <wps:wsp>
                    <wps:cNvSpPr/>
                    <wps:spPr>
                      <a:xfrm rot="0">
                        <a:off x="0" y="0"/>
                        <a:ext cx="381000" cy="197358"/>
                      </a:xfrm>
                      <a:prstGeom prst="rect"/>
                      <a:noFill/>
                      <a:ln w="9525" cmpd="sng" cap="flat">
                        <a:noFill/>
                        <a:prstDash val="solid"/>
                        <a:round/>
                      </a:ln>
                    </wps:spPr>
                    <wps:txbx id="2">
                      <w:txbxContent>
                        <w:p>
                          <w:pPr>
                            <w:pStyle w:val="16"/>
                            <w:tabs>
                              <w:tab w:val="center" w:pos="4153"/>
                              <w:tab w:val="right" w:pos="8306"/>
                            </w:tabs>
                            <w:rPr>
                              <w:rFonts w:ascii="仿宋_GB2312" w:eastAsia="仿宋_GB2312" w:cs="仿宋_GB2312"/>
                              <w:sz w:val="24"/>
                              <w:szCs w:val="24"/>
                            </w:rPr>
                          </w:pPr>
                          <w:r>
                            <w:rPr>
                              <w:rFonts w:ascii="仿宋_GB2312" w:eastAsia="仿宋_GB2312" w:cs="仿宋_GB2312"/>
                              <w:sz w:val="24"/>
                              <w:szCs w:val="24"/>
                            </w:rPr>
                            <w:fldChar w:fldCharType="begin"/>
                          </w:r>
                          <w:r>
                            <w:rPr>
                              <w:rFonts w:ascii="仿宋_GB2312" w:eastAsia="仿宋_GB2312" w:cs="仿宋_GB2312"/>
                              <w:sz w:val="24"/>
                              <w:szCs w:val="24"/>
                            </w:rPr>
                            <w:instrText xml:space="preserve"> PAGE  \* MERGEFORMAT </w:instrText>
                          </w:r>
                          <w:r>
                            <w:rPr>
                              <w:rFonts w:ascii="仿宋_GB2312" w:eastAsia="仿宋_GB2312" w:cs="仿宋_GB2312"/>
                              <w:sz w:val="24"/>
                              <w:szCs w:val="24"/>
                            </w:rPr>
                            <w:fldChar w:fldCharType="separate"/>
                          </w:r>
                          <w:r>
                            <w:rPr>
                              <w:rFonts w:ascii="仿宋_GB2312" w:eastAsia="仿宋_GB2312" w:cs="仿宋_GB2312"/>
                              <w:sz w:val="24"/>
                              <w:szCs w:val="24"/>
                            </w:rPr>
                            <w:t>1</w:t>
                          </w:r>
                          <w:r>
                            <w:rPr>
                              <w:rFonts w:ascii="仿宋_GB2312" w:eastAsia="仿宋_GB2312" w:cs="仿宋_GB2312"/>
                              <w:sz w:val="24"/>
                              <w:szCs w:val="24"/>
                            </w:rPr>
                            <w:fldChar w:fldCharType="end"/>
                          </w:r>
                        </w:p>
                      </w:txbxContent>
                    </wps:txbx>
                    <wps:bodyPr vert="horz" wrap="none" lIns="0" tIns="0" rIns="0" bIns="0" anchor="t" anchorCtr="0" upright="0">
                      <a:spAutoFit/>
                    </wps:bodyPr>
                  </wps:wsp>
                </a:graphicData>
              </a:graphic>
            </wp:anchor>
          </w:drawing>
        </mc:Choice>
        <mc:Fallback>
          <w:pict>
            <v:shape type="#_x0000_t202" id="文本框 1025 3" o:spid="_x0000_s3" filled="f" stroked="f" style="position:absolute;margin-left:0.0pt;margin-top:0.0pt;width:30.0pt;height:15.540016pt;z-index:12;mso-position-horizontal:center;mso-position-horizontal-relative:margin;mso-position-vertical:absolute;mso-wrap-distance-left:8.999863pt;mso-wrap-distance-right:8.999863pt;mso-wrap-style:none;">
              <v:stroke color="#000000"/>
              <v:textbox id="848" inset="0mm,0mm,0mm,0mm" o:insetmode="custom" style="layout-flow:horizontal;v-text-anchor:top;mso-fit-shape-to-text:t;">
                <w:txbxContent>
                  <w:p>
                    <w:pPr>
                      <w:pStyle w:val="16"/>
                      <w:tabs>
                        <w:tab w:val="center" w:pos="4153"/>
                        <w:tab w:val="right" w:pos="8306"/>
                      </w:tabs>
                      <w:rPr>
                        <w:rFonts w:ascii="仿宋_GB2312" w:eastAsia="仿宋_GB2312" w:cs="仿宋_GB2312"/>
                        <w:sz w:val="24"/>
                        <w:szCs w:val="24"/>
                      </w:rPr>
                    </w:pPr>
                    <w:r>
                      <w:rPr>
                        <w:rFonts w:ascii="仿宋_GB2312" w:eastAsia="仿宋_GB2312" w:cs="仿宋_GB2312"/>
                        <w:sz w:val="24"/>
                        <w:szCs w:val="24"/>
                      </w:rPr>
                      <w:fldChar w:fldCharType="begin"/>
                    </w:r>
                    <w:r>
                      <w:rPr>
                        <w:rFonts w:ascii="仿宋_GB2312" w:eastAsia="仿宋_GB2312" w:cs="仿宋_GB2312"/>
                        <w:sz w:val="24"/>
                        <w:szCs w:val="24"/>
                      </w:rPr>
                      <w:instrText xml:space="preserve"> PAGE  \* MERGEFORMAT </w:instrText>
                    </w:r>
                    <w:r>
                      <w:rPr>
                        <w:rFonts w:ascii="仿宋_GB2312" w:eastAsia="仿宋_GB2312" w:cs="仿宋_GB2312"/>
                        <w:sz w:val="24"/>
                        <w:szCs w:val="24"/>
                      </w:rPr>
                      <w:fldChar w:fldCharType="separate"/>
                    </w:r>
                    <w:r>
                      <w:rPr>
                        <w:rFonts w:ascii="仿宋_GB2312" w:eastAsia="仿宋_GB2312" w:cs="仿宋_GB2312"/>
                        <w:sz w:val="24"/>
                        <w:szCs w:val="24"/>
                      </w:rPr>
                      <w:t>1</w:t>
                    </w:r>
                    <w:r>
                      <w:rPr>
                        <w:rFonts w:ascii="仿宋_GB2312" w:eastAsia="仿宋_GB2312" w:cs="仿宋_GB2312"/>
                        <w:sz w:val="24"/>
                        <w:szCs w:val="24"/>
                      </w:rPr>
                      <w:fldChar w:fldCharType="end"/>
                    </w:r>
                  </w:p>
                </w:txbxContent>
              </v:textbox>
            </v:shape>
          </w:pict>
        </mc:Fallback>
      </mc:AlternateContent>
    </w:r>
  </w:p>
</w:ftr>
</file>

<file path=word/numbering.xml><?xml version="1.0" encoding="utf-8"?>
<w:numbering xmlns:w="http://schemas.openxmlformats.org/wordprocessingml/2006/main" xmlns:o="urn:schemas-microsoft-com:office:office" xmlns:r="http://schemas.openxmlformats.org/officeDocument/2006/relationships" xmlns:m="http://schemas.openxmlformats.org/officeDocument/2006/math" xmlns:v="urn:schemas-microsoft-com:vml" xmlns:mc="http://schemas.openxmlformats.org/markup-compatibility/2006" xmlns:w14="http://schemas.microsoft.com/office/word/2010/wordml">
  <w:abstractNum w:abstractNumId="0">
    <w:nsid w:val="E9FEC685"/>
    <w:multiLevelType w:val="singleLevel"/>
    <w:tmpl w:val="E9FEC685"/>
    <w:lvl w:ilvl="0">
      <w:start w:val="2"/>
      <w:numFmt w:val="chineseCounting"/>
      <w:lvlRestart w:val="0"/>
      <w:suff w:val="nothing"/>
      <w:lvlText w:val="（%1）"/>
      <w:lvlJc w:val="left"/>
      <w:pPr>
        <w:tabs>
          <w:tab w:val="num" w:pos="0"/>
        </w:tabs>
        <w:ind w:left="0" w:hanging="0"/>
      </w:pPr>
      <w:rPr>
        <w:rFonts w:hint="eastAsia"/>
      </w:rPr>
    </w:lvl>
  </w:abstractNum>
  <w:abstractNum w:abstractNumId="1">
    <w:nsid w:val="68FD14BF"/>
    <w:multiLevelType w:val="singleLevel"/>
    <w:tmpl w:val="68FD14BF"/>
    <w:lvl w:ilvl="0">
      <w:start w:val="2"/>
      <w:numFmt w:val="chineseCounting"/>
      <w:lvlRestart w:val="0"/>
      <w:suff w:val="nothing"/>
      <w:lvlText w:val="%1、"/>
      <w:lvlJc w:val="left"/>
      <w:pPr>
        <w:tabs>
          <w:tab w:val="num" w:pos="0"/>
        </w:tabs>
        <w:ind w:left="0" w:hanging="0"/>
      </w:pPr>
      <w:rPr>
        <w:rFonts w:hint="eastAsia"/>
      </w:rPr>
    </w:lvl>
  </w:abstractNum>
  <w:num w:numId="1">
    <w:abstractNumId w:val="0"/>
  </w:num>
  <w:num w:numId="2">
    <w:abstractNumId w:val="1"/>
  </w:num>
</w:numbering>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260"/>
  <w:bordersDoNotSurroundHeader/>
  <w:bordersDoNotSurroundFooter/>
  <w:documentProtection w:edit="readOnly" w:enforcement="0"/>
  <w:defaultTabStop w:val="420"/>
  <w:drawingGridHorizontalSpacing w:val="105"/>
  <w:drawingGridVerticalSpacing w:val="156"/>
  <w:displayHorizontalDrawingGridEvery w:val="1"/>
  <w:displayVerticalDrawingGridEvery w:val="1"/>
  <w:noPunctuationKerning/>
  <w:characterSpacingControl w:val="compressPunctuation"/>
  <w:compat>
    <w:spaceForUL/>
    <w:balanceSingleByteDoubleByteWidth/>
    <w:ulTrailSpace/>
    <w:doNotExpandShiftReturn/>
    <w:adjustLineHeightInTable/>
    <w:doNotUseIndentAsNumberingTabStop/>
    <w:useAltKinsokuLineBreakRules/>
    <w:compatSetting w:name="compatibilityMode" w:uri="http://schemas.microsoft.com/office/word" w:val="14"/>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next w:val="15"/>
    <w:pPr>
      <w:widowControl w:val="0"/>
      <w:jc w:val="both"/>
    </w:pPr>
    <w:rPr>
      <w:rFonts w:ascii="Calibri" w:eastAsia="宋体" w:cs="Times New Roman" w:hAnsi="Calibri"/>
      <w:kern w:val="2"/>
      <w:sz w:val="21"/>
      <w:szCs w:val="24"/>
      <w:lang w:val="en-US" w:eastAsia="zh-CN" w:bidi="ar-SA"/>
    </w:rPr>
  </w:style>
  <w:style w:type="paragraph" w:styleId="1">
    <w:name w:val="heading 1"/>
    <w:basedOn w:val="0"/>
    <w:next w:val="0"/>
    <w:pPr>
      <w:keepNext/>
      <w:keepLines/>
      <w:spacing w:before="340" w:after="330" w:line="578" w:lineRule="auto"/>
      <w:outlineLvl w:val="0"/>
    </w:pPr>
    <w:rPr>
      <w:b/>
      <w:bCs/>
      <w:kern w:val="44"/>
      <w:sz w:val="44"/>
    </w:rPr>
  </w:style>
  <w:style w:type="paragraph" w:styleId="2">
    <w:name w:val="heading 2"/>
    <w:basedOn w:val="0"/>
    <w:next w:val="0"/>
    <w:pPr>
      <w:keepNext/>
      <w:keepLines/>
      <w:spacing w:before="260" w:after="260" w:line="415" w:lineRule="auto"/>
      <w:outlineLvl w:val="1"/>
    </w:pPr>
    <w:rPr>
      <w:rFonts w:ascii="Luxi Sans" w:eastAsia="黑体" w:hAnsi="Luxi Sans"/>
      <w:b/>
      <w:sz w:val="32"/>
    </w:rPr>
  </w:style>
  <w:style w:type="paragraph" w:styleId="3">
    <w:name w:val="heading 3"/>
    <w:basedOn w:val="0"/>
    <w:next w:val="0"/>
    <w:pPr>
      <w:keepNext/>
      <w:keepLines/>
      <w:spacing w:before="260" w:after="260" w:line="415" w:lineRule="auto"/>
      <w:outlineLvl w:val="2"/>
    </w:pPr>
    <w:rPr>
      <w:b/>
      <w:sz w:val="32"/>
    </w:rPr>
  </w:style>
  <w:style w:type="character" w:default="1" w:styleId="10">
    <w:name w:val="Default Paragraph Font"/>
  </w:style>
  <w:style w:type="paragraph" w:styleId="15">
    <w:name w:val="Normal Indent"/>
    <w:basedOn w:val="0"/>
    <w:pPr>
      <w:ind w:firstLineChars="200" w:firstLine="200"/>
    </w:pPr>
  </w:style>
  <w:style w:type="paragraph" w:styleId="16">
    <w:name w:val="footer"/>
    <w:basedOn w:val="0"/>
    <w:pPr>
      <w:tabs>
        <w:tab w:val="center" w:pos="4153"/>
        <w:tab w:val="right" w:pos="8306"/>
      </w:tabs>
      <w:snapToGrid w:val="0"/>
      <w:jc w:val="left"/>
    </w:pPr>
    <w:rPr>
      <w:sz w:val="18"/>
      <w:szCs w:val="18"/>
    </w:rPr>
  </w:style>
  <w:style w:type="paragraph" w:styleId="17">
    <w:name w:val="header"/>
    <w:basedOn w:val="0"/>
    <w:pPr>
      <w:pBdr>
        <w:bottom w:val="single" w:sz="6" w:space="1" w:color="auto"/>
      </w:pBdr>
      <w:tabs>
        <w:tab w:val="center" w:pos="4153"/>
        <w:tab w:val="right" w:pos="8306"/>
      </w:tabs>
      <w:snapToGrid w:val="0"/>
      <w:jc w:val="center"/>
    </w:pPr>
    <w:rPr>
      <w:sz w:val="18"/>
      <w:szCs w:val="18"/>
    </w:rPr>
  </w:style>
  <w:style w:type="paragraph" w:styleId="18">
    <w:name w:val="Normal (Web)"/>
    <w:basedOn w:val="0"/>
    <w:pPr>
      <w:spacing w:before="0" w:beforeAutospacing="1" w:after="0" w:afterAutospacing="1"/>
      <w:ind w:left="0" w:right="0"/>
      <w:jc w:val="left"/>
    </w:pPr>
    <w:rPr>
      <w:kern w:val="0"/>
      <w:sz w:val="24"/>
      <w:lang w:val="en-US" w:eastAsia="zh-CN"/>
    </w:rPr>
  </w:style>
  <w:style w:type="character" w:styleId="19">
    <w:name w:val="page number"/>
    <w:basedOn w:val="10"/>
  </w:style>
  <w:style w:type="paragraph" w:customStyle="1" w:styleId="20">
    <w:name w:val="reader-word-layer reader-word-s2-2"/>
    <w:basedOn w:val="0"/>
    <w:pPr>
      <w:widowControl/>
      <w:spacing w:before="100" w:beforeAutospacing="1" w:after="100" w:afterAutospacing="1"/>
      <w:jc w:val="left"/>
    </w:pPr>
    <w:rPr>
      <w:rFonts w:ascii="宋体" w:cs="宋体"/>
      <w:kern w:val="0"/>
      <w:sz w:val="24"/>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oter" Target="footer1.xml"/><Relationship Id="rId3" Type="http://schemas.openxmlformats.org/officeDocument/2006/relationships/styles" Target="styles.xml"/><Relationship Id="rId4" Type="http://schemas.openxmlformats.org/officeDocument/2006/relationships/numbering" Target="numbering.xml"/><Relationship Id="rId5" Type="http://schemas.openxmlformats.org/officeDocument/2006/relationships/fontTable" Target="fontTable.xml"/></Relationships>
</file>

<file path=docProps/app.xml><?xml version="1.0" encoding="utf-8"?>
<Properties xmlns="http://schemas.openxmlformats.org/officeDocument/2006/extended-properties">
  <Template>Normal.eit</Template>
  <TotalTime>16</TotalTime>
  <Application>Yozo_Office27021597764231179</Application>
  <Pages>2</Pages>
  <Words>721</Words>
  <Characters>742</Characters>
  <Lines>37</Lines>
  <Paragraphs>13</Paragraphs>
  <CharactersWithSpaces>742</CharactersWithSpaces>
  <Company>Microsoft</Company>
</Properties>
</file>

<file path=docProps/core.xml><?xml version="1.0" encoding="utf-8"?>
<cp:coreProperties xmlns:cp="http://schemas.openxmlformats.org/package/2006/metadata/core-properties" xmlns:dc="http://purl.org/dc/elements/1.1/" xmlns:dcterms="http://purl.org/dc/terms/" xmlns:xsi="http://www.w3.org/2001/XMLSchema-instance">
  <dc:creator>Administrator</dc:creator>
  <cp:lastModifiedBy>user</cp:lastModifiedBy>
  <cp:revision>4</cp:revision>
  <cp:lastPrinted>2022-07-27T23:38:00Z</cp:lastPrinted>
  <dcterms:created xsi:type="dcterms:W3CDTF">2020-09-04T21:34:00Z</dcterms:created>
  <dcterms:modified xsi:type="dcterms:W3CDTF">2023-04-20T06:24:18Z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2052-11.8.2.10290</vt:lpwstr>
  </property>
</Properties>
</file>